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97" w:rsidRPr="00001762" w:rsidRDefault="00E1019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E10197" w:rsidRPr="00001762" w:rsidRDefault="00E1019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E10197" w:rsidRDefault="00E1019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9A6B27" w:rsidRPr="00001762" w:rsidRDefault="009A6B2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642" w:rsidRPr="001365CF" w:rsidRDefault="008E6E37" w:rsidP="0098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15642" w:rsidRPr="00136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нем обнаружения проступка, с которого начинается течение месячного срока</w:t>
      </w:r>
      <w:r w:rsidRPr="008E6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применения дисциплинарного взыскания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считается день, когда лицу, которому по работе (службе) подчинен работник, стало известно о совершении проступка, независимо от того, наделено ли оно правом наложения дисциплинарных взысканий</w:t>
      </w:r>
      <w:r w:rsidR="00491196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Первого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кассационного суда общей юрисдикции от 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октября 2024 г., дело № 88-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31494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/2024).</w:t>
      </w:r>
    </w:p>
    <w:p w:rsidR="009D584F" w:rsidRPr="001365CF" w:rsidRDefault="009D584F" w:rsidP="0098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84F" w:rsidRDefault="009D584F" w:rsidP="0098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>П. обратился в суд с иском к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еральному казенному учреждению </w:t>
      </w:r>
      <w:r w:rsidRPr="009D58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>ФКУ), Министерству обороны Российской Федерации, Управлению финансового обеспечения Министерства обороны Российской Федерации по Калужской и Тульской областям о восстановлении на работе, отмене приказов о применении дисциплинарного взыскания и протокола комиссии по соблюдению требований к служебному поведению работников военного комиссариата Тульской области и урегулированию конфликта интересов, взыскании среднего заработка за время вынужденного прогула.</w:t>
      </w:r>
    </w:p>
    <w:p w:rsidR="009D584F" w:rsidRPr="009D584F" w:rsidRDefault="009D584F" w:rsidP="009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дела, с 9 июня 2022 г. П. занимал должность военного комиссара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ФКУ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основному месту работы.</w:t>
      </w:r>
    </w:p>
    <w:p w:rsidR="009D584F" w:rsidRDefault="009D584F" w:rsidP="009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прекращая исполнение трудовых обязанностей по должности военного комиссара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ФКУ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16 марта 2023 г. был избран заместителем председателя местного отделения ДОСААФ и членом Совета местного отделения ДОСААФ России </w:t>
      </w:r>
      <w:proofErr w:type="spellStart"/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области.</w:t>
      </w:r>
    </w:p>
    <w:p w:rsidR="00DB32AD" w:rsidRPr="00DB32AD" w:rsidRDefault="00DB32AD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заседания комиссии военного комиссариата Тульской области по соблюдению требований к служебному поведению работников и урегулированию конфликта интересов 29 августа 2023 г. с участием П. единогласно принято решение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истцу дисциплинарное взыскание в виде увольнения за непринятие мер по предотвращению и урегулированию конфликта интересов, стороной которого он является, дающее основание для утраты доверия со стороны работодателя.</w:t>
      </w:r>
    </w:p>
    <w:p w:rsidR="00A26913" w:rsidRDefault="00DB32AD" w:rsidP="0018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августа 2023 г. П. привлечен к дисциплинарной ответственности за непринятие мер по урегулированию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от 5 сентября 2023 г. П. уволен по основанию, предусмотренному пунктом 7.1 части первой статьи 81 Трудового кодекса Российской Федерации.</w:t>
      </w:r>
    </w:p>
    <w:p w:rsidR="00DB32AD" w:rsidRDefault="00DB32AD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Отказывая в удовлетворении исковых требований, суд первой инстанции, с выводами которого согласился суд апелляционной инстанции, 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установив, что П. не приняты меры по урегулированию конфликта интересов, возникшего в связи с избранием его на должность заместителя председателя местного отделения ДОСААФ России </w:t>
      </w:r>
      <w:proofErr w:type="spellStart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области, не предоставил работодателю уведомление о возникшем конфликте интересов, исходили из наличия у работодателя оснований для увольнения его по пункту 7.1 части 1 статьи 81 Трудового кодекса Российской Федерации. При этом нарушений порядк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увольнения П. не установлено. </w:t>
      </w:r>
    </w:p>
    <w:p w:rsidR="001365CF" w:rsidRDefault="00DB32AD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кассационной жалобе 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указал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отсутствие конфликта интересов, ссылаясь на то, что на момент избрания на должность заместителя председателя местного отделения ДОСААФ России </w:t>
      </w:r>
      <w:proofErr w:type="spellStart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 деятельность </w:t>
      </w:r>
      <w:r w:rsidR="001365C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отделения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прекращена на основании решения суда. </w:t>
      </w:r>
    </w:p>
    <w:p w:rsidR="00DB32AD" w:rsidRDefault="001365CF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судом отмечено, что </w:t>
      </w:r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деятельность П. выполнял реально, будучи убежденным в легитимности деятельности данной организации, при этом принимал непосредственное участие в проведении контрольно-надзорных мероприятий в отношении учебного учреждения, входящего в структуру ДОСААФ России,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уведомил военного комиссара Тульской области о возникновении конфликта интересов, под которым в силу части 1 статьи 10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противодействии коррупции»</w:t>
      </w:r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В данном случае осуществление истцом деятельности как заместителем председателя местного отделения ДОСААФ России </w:t>
      </w:r>
      <w:proofErr w:type="spellStart"/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 могло повлиять на надлежащее, объективное и беспристрастное исполнение им должностных (служебных) обязанностей, в том числе исполнение возложенных на него обязанностей по осуществлению контрольно-проверочных мероприятий в отношении учебных учреждений, входящих в структуру ДОСААФ России.</w:t>
      </w:r>
    </w:p>
    <w:p w:rsidR="00491196" w:rsidRDefault="00491196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П. был заявлен довод о пропуске месячного срока привлечения к дисциплинарной ответственности. </w:t>
      </w:r>
    </w:p>
    <w:p w:rsidR="00491196" w:rsidRDefault="00491196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 указал на ошибочность указанного довода, пояснив, что в соответствии с подпунктом «б»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34 Постановления Пленума Верховного Суда Российской Федерации от 17 марта 2004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разъяснено, что днем обнаружения проступка, с которого начинается течение месячного срока, считается день, когда лицу, которому по работе (службе) подчинен работник, стало известно о совершении проступка, независимо от того, наделено ли оно правом наложения дисциплинарных взысканий.</w:t>
      </w:r>
      <w:r w:rsidRPr="00491196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допущенном П. нарушении работодателю стало известно по результатам заседания комиссии по соблюдению требований к служебному поведению 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работников военного комиссариата Тульской области и урегулированию конфликта интересов, проведенного 29 августа 2023 г., на котором рассмотрены результаты проверочных мероприятий, проведенных в период с 22 июня 2023 г. по 21 августа 2023 г., а не с даты направления начальником строевого отделения военного комиссариата Тульской области докладной записки на имя военного комиссара Тульской области (21 июня 2023 г.), как ошибочно полагает заявитель.</w:t>
      </w:r>
    </w:p>
    <w:p w:rsidR="001B7170" w:rsidRDefault="001365CF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2024 г.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31494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>/2024 решение Центрального районного суда г. Тулы от 19 января 2024 г. и апелляционное определение судебной коллегии по гражданским делам Тульского областного суда от 3 июня 2024 г.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 без изменения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>, кассационн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- без удовлетворения.</w:t>
      </w: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EBE" w:rsidRPr="00CE3EBE" w:rsidRDefault="008E6E37" w:rsidP="00CE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63A47" w:rsidRP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по вопросам предоставления сведений о доходах, расходах, об имуществе и обязательствах имущественного характера</w:t>
      </w:r>
      <w:r w:rsidR="004C3AFB" w:rsidRP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заполнения соответствующей формы справки</w:t>
      </w:r>
      <w:r w:rsid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подлежат безусловному применению</w:t>
      </w:r>
      <w:r w:rsidR="0074260A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 w:rsid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Восьмого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кассационного суда общей юрисдикции от </w:t>
      </w:r>
      <w:r w:rsid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ноября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 г., дело № 88-</w:t>
      </w:r>
      <w:r w:rsidR="00742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21973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/2024).</w:t>
      </w:r>
    </w:p>
    <w:p w:rsidR="00D63A47" w:rsidRPr="004C3AFB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обратился в суд с иском к Администрации </w:t>
      </w:r>
      <w:proofErr w:type="spellStart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proofErr w:type="spellEnd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о признании незаконным приказа о дисциплинарном взыскании.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судами первой и апелляционной инстанций и следует из материалов дела, с 1 апреля 2022 г. З. принят на должность муниципальной службы в Администрацию </w:t>
      </w:r>
      <w:proofErr w:type="spellStart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proofErr w:type="spellEnd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ведущим специалистом отдела правового обеспечения.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января 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З. переведен на должность главного специалиста отдела правового обеспечения.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августа 2023 г. З. было выдано уведомление о проведении в отношении него проверки. 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докладу о результатах проверки достоверности и полноты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представленных З., установлено, что в графе 6 подраздела 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«Недвижимое имущество» раздела 3 «Сведения об имуществе»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справок о доходах за 2021 и 2022 гг., поданных З. на себя, не отражены сведения о государственной регистрации имущества и не полностью указаны реквизиты документов, являющихся основанием для возникновения права собственности по квартире, расположенной по адресу: 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&gt;. В справках о доходах за 2021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отчетные годы указано «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купли-продажи от 21 января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2019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 по реестру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. В соответствии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2023 г. (за отчетный 2022 год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), разраб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>отанными Министерством труда и с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оциальной защиты Российской Федерации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основании копии выписки ЕГРН от 19 августа 2021 г., представленной З. в ходе проверк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в справках следовало писать «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купли-продажи объекта недвижимости (квартира),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21 января 2019 г., нотариус Ф. Выписка ЕГРН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от 28 января 2019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Главы </w:t>
      </w:r>
      <w:proofErr w:type="spellStart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proofErr w:type="spellEnd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от </w:t>
      </w:r>
      <w:r w:rsidR="005D0A63" w:rsidRPr="005D0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неисполнение обязанностей, установленных в целях противодействия коррупции, в соответствии со ст</w:t>
      </w:r>
      <w:r w:rsidR="005D0A63">
        <w:rPr>
          <w:rFonts w:ascii="Times New Roman" w:hAnsi="Times New Roman" w:cs="Times New Roman"/>
          <w:color w:val="000000" w:themeColor="text1"/>
          <w:sz w:val="28"/>
          <w:szCs w:val="28"/>
        </w:rPr>
        <w:t>атьей 27.1 Федерального закона «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</w:t>
      </w:r>
      <w:r w:rsidR="005D0A63">
        <w:rPr>
          <w:rFonts w:ascii="Times New Roman" w:hAnsi="Times New Roman" w:cs="Times New Roman"/>
          <w:color w:val="000000" w:themeColor="text1"/>
          <w:sz w:val="28"/>
          <w:szCs w:val="28"/>
        </w:rPr>
        <w:t>жбе в Российской Федерации»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объявлено замечание.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утверждению З. правонарушение коррупционной направленности им не совершалось, а М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етодические рекомендации разработаны с целью разъяснения отдельных ситуаций, возникающих при заполнении справок о доходах, расходах и обязательствах имущественного характера, носят рекомендательный характер, не являются нормативным правовым актом.</w:t>
      </w:r>
    </w:p>
    <w:p w:rsidR="005D0A63" w:rsidRPr="005D0A63" w:rsidRDefault="005D0A63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спор, суд первой инстанции пришел к выводу о наличии правовых оснований для привлечения З. к дисциплинарной ответственности в виде замечания, поскольку установлен факт нарушения истцом законодательства о противодействии коррупции, выразившийся в предоставлении неполных сведений о своих доходах, расходах, об имуществе и обязательствах имущественного характера за 2021-2022 гг., предусмотренные законом порядок и процедура применения дисциплинарного взыскания ответчиком были соблюдены.</w:t>
      </w:r>
    </w:p>
    <w:p w:rsidR="005D0A63" w:rsidRPr="005D0A63" w:rsidRDefault="005D0A63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апелляционной инстанции согласился с выводами суда первой инстанции и их правовым обоснованием. </w:t>
      </w:r>
    </w:p>
    <w:p w:rsidR="005D0A63" w:rsidRDefault="005D0A63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Доводы З. были признаны судами необоснованными в связи со следующим.</w:t>
      </w:r>
    </w:p>
    <w:p w:rsidR="005D0A63" w:rsidRDefault="005D0A63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25 Указа Президента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2 апреля 2013 г. № 309 «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О мерах по реализации отдельных положений Федерального зако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>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коррупции»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органам, государственным внебюджетным фондам, иным организациям, созданным на основании федеральных законов, а также уполномочено издавать методические рекомендации и другие инструктивно-методические материалы по данным вопросам.</w:t>
      </w:r>
    </w:p>
    <w:p w:rsidR="00D63A47" w:rsidRDefault="005D0A63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Соответственно, 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 решает в соответствии с законодательством Российской Федерации о государственной службе вопросы, связанные с прохождением такой службы, указанные Методические рекомендации изданы при реализации предоставленных полномочий и подлежат безусловному применению, тогда как З. при заполнении подраздела 3.1 в справках за 2021 год и 2022 год указал объект недвижимости - квартира по адресу: 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&gt;, при этом в графе 6 данного подраздела сведения о наименовании и реквизитах документа, являющегося законным основанием для возникновен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права собственности, указал «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купли-продажи от 21 января 2019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 по реестру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№»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, однако момент возникновения права собственности на недвижимое имущество связан с моментом проведения государственной регистрации этого права, для каждого объекта недвижимого имущества указываются реквизиты (серия, номер и дата выдачи)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недвижимости, но З. сведения о государственной регистрации права собственности на квартиру в справках не указаны и уточненные сведения в установленный срок не представлялись.</w:t>
      </w:r>
    </w:p>
    <w:p w:rsidR="004C3AFB" w:rsidRDefault="004C3AFB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Восьмого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21973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/2024 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Омска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и апелляционное определение судебной коллегии по гражданским делам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Омского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суда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2024 г. оставлено 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кассационная жалоба З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>. - без удовлетворения.</w:t>
      </w:r>
    </w:p>
    <w:p w:rsidR="00DB3BB1" w:rsidRDefault="00DB3BB1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BB1" w:rsidRPr="00763025" w:rsidRDefault="008E6E37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B3BB1" w:rsidRPr="00763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63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="00763025" w:rsidRPr="00763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</w:t>
      </w:r>
      <w:r w:rsidR="00A93CBF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Третьего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кассационного суда общей юрисдикции от </w:t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7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 г., дело № 16-4340/2024).</w:t>
      </w:r>
    </w:p>
    <w:p w:rsidR="00DB3BB1" w:rsidRDefault="00DB3BB1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BB1" w:rsidRDefault="00AB6AAF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мирового судьи Лесозаводского судебного участка города Сыктывкара Республики Коми от 15 сентября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оставленным без изменения решением судьи Сыктывкарского городского суда Республики Коми от 27 ноября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ФКУ «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Республике Коми» (далее – ФКУ)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признано виновным в совершении административного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правонарушения, предусмотренного статьей 19.29 Кодекса Российской Федерации об административных правонарушениях, с назначением административного наказания в виде административного штрафа в размере 50000 рублей.</w:t>
      </w:r>
    </w:p>
    <w:p w:rsidR="00AB6AAF" w:rsidRDefault="00AB6AAF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В жалобе, поданной в Третий кассационный суд общей юрисдикции, ФКУ просит судебные акты отменить и прекратить производство по делу об административном правонарушении, ссылаясь на ненадлежащую оценку судебными инстанциями имеющихся в деле доказательств, неправильное толкование судами норм материального права.</w:t>
      </w:r>
    </w:p>
    <w:p w:rsidR="00AB6AAF" w:rsidRPr="00AB6AAF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дела следует,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в период с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7 июня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11 июля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замещал должность &lt;данные изъяты&gt; УМВД России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г. Сыктывкару, уволен со службы 11 июля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приказа начальника У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МВД России по г. Сыктывкару от 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 на работу в ФКУ на должность водителя автомобиля 4 квалификационного разряда ремонтно-эксплуатационной группы автохозяйства, согласно приказу от 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трудовому договору от 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6AAF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требований статьи 12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«О противодействии коррупции»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статьи 61.1 Трудового кодекса Российской Федерации ФКУ в установленный 10-дневный срок не направило сообщение о заключении трудового договора представителю нанимателя государственного служащего по последнему месту его службы.</w:t>
      </w:r>
    </w:p>
    <w:p w:rsidR="00AB6AAF" w:rsidRPr="00AB6AAF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разъяснениям Верховного Суда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содержащимся в пункте 5 Постановления Пленума Верховного Суда Российской Федерации от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правонарушениях»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 При этом исходя из смысла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12 Федерального закона «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коррупции»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обязанность, предусмотренную частью 4 названной статьи, несут организации независимо от их организационно-правовой формы.</w:t>
      </w:r>
    </w:p>
    <w:p w:rsidR="00D63A47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указано судебными инстанциями, ФКУ не является государственным (муниципальным) органом, в связи с чем ФКУ</w:t>
      </w:r>
      <w:r w:rsid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не освобождено от обязанности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лица.</w:t>
      </w:r>
    </w:p>
    <w:p w:rsidR="00763025" w:rsidRDefault="00763025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изложенное,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ФКУ привлечено к административной ответственности, предусмотренной статьей 19.29 Кодекса Российской Федерации об административных правонарушениях.</w:t>
      </w:r>
    </w:p>
    <w:p w:rsidR="00763025" w:rsidRDefault="00763025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Третьего кассацио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суда общей юрисдикции от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делу №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16-4340/2024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мирового судьи Лесозаводского судебного участка города Сыктывкара Республики Коми от 15 сентября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решение судьи Сыктывкарского городского суда Республики Коми от 27 ноября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оставлены без изменения, жалоба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ФКУ -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удовлетворения.</w:t>
      </w:r>
    </w:p>
    <w:p w:rsidR="00D63A47" w:rsidRDefault="00763025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6E37" w:rsidRPr="009825C6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Срок хранения справок о доходах, расходах, об имуществе и обязательствах имущественного характера составляет 50 лет. Хранение оператором персональных данных (работодателем) в силу возложенных на него обязанностей указанных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документов</w:t>
      </w:r>
      <w:r w:rsidRPr="0098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является незаконной обработкой персональных данных работника</w:t>
      </w: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(определение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Четвертого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кассационного суда общей юрисдикции от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31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октября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 г., дело № 88-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34076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/2024).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обратилась в суд с требованием к Феде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ральному казенному предприятию «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заказчика капитального строительства Министерст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 обороны Российской Федерации» (далее – ФКП)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незаконной обработки персональных данных, </w:t>
      </w:r>
      <w:proofErr w:type="spellStart"/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прекратить обработку сведений.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судами и следует из материалов 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осуществляла трудовую деятельность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ФКП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</w:t>
      </w: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трудового договора о приеме на работу на должность юрисконсульта.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между истцом и ответчиком заключено дополнительное соглашение к трудовому договору, в соответствии с которым истец с должности ведущего юрисконсульта юридического отдела переведена на должность начальника отдела по работе с персоналом.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дополнительным соглашением от </w:t>
      </w: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трудовому договору истец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переведена на должность начальника группы по работе с персоналом.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договор с истцом был расторгнут по инициативе работодателя по основаниям, предусмотренным пунктом 5 части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статьи 81 Трудового кодекса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связи с неоднократным неисполнением работником без уважительных причин трудовых обязанностей.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Обращаясь в суд с исковым заявлением,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указала на то, что ответчик осуществлял хранение сведений о доходах, расходах, имуществе и обязательствах имущественного характера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супруга и несовершеннолетнего ребенка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2018-2022 годов, а также после ее увольнения, тем самым наруша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истца незаконной обработкой ее персональных данных, поскольку нормативные акты Министерства Обороны Российской Федерации в сфере противодействия коррупции не распространяют свое действие на предприятие и на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ФКП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ФКП  не является воинской частью, организацией, в которой предусмотрена воинская служба, либо организацией Вооруженных Сил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89D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истца, ответчик злоупотребляет необоснованной свободой толкования и применения антикоррупционного и трудового законодательства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Отказывая в удовлетворении иска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суд первой инстанции,</w:t>
      </w:r>
      <w:r w:rsidRPr="00D71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D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которым согласился суд апелляционной инстанции,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положениями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349.2 Трудового кодекса Российской Федерации,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«О противодействии коррупции»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персональных данных»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Положением о Министерств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обороны Российской Федерации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Перечнем воинских должностей, должностей федеральной государственной гражданской службы в Министерстве обороны Российской Федерации, должностей работников в организациях, создаваемых для выполнения задач, поставленных перед Министерством обороны Российской Федерации, при назначении на которые и при замещении которых военнослужащие, федеральные 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Министра обороны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D92F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«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О распространении на отдельные категории граждан ограничений, запретов и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федеральными законами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целях противодействия коррупции»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исходил из тождественности полномочий, осуществляющих Минобороны России и задач, стоящих перед ФКП, прише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 к выводу об идентификации ФКП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организации, созданной для выполнения задач, стоящих перед Минобороны России.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указали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истца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занимавшую должность начальника группы по работе с персоналом ФКП, правомерно возложена обязанность по предоставлению работодателю сведений о своих доходах, об имуществе и обязательствах имущественного характера, а также сведения о 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отметили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>, что сведения о доходах, расходах, имуществе и обязательствах имущественного характера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>, ее супруга и несовершеннолетнего ребенка за 2018-2022 годы оператор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ерсональных данных, то есть ФКП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обязано хранить до истечения срока, установленного архивным законодатель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ством, который составляет 50 лет (пункт 467 «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сроков их хранения»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Приказом </w:t>
      </w:r>
      <w:proofErr w:type="spellStart"/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Росархива</w:t>
      </w:r>
      <w:proofErr w:type="spellEnd"/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 декабря 2019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236).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Судами</w:t>
      </w:r>
      <w:r w:rsidRPr="00D71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 факт допущенной ответчиком в отношении истца дискриминации по каким-либо причинам, доказательств указанным обстоятельствам истцом не предоставлено.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Четвертого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34076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/2024 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Ворошиловского районного суда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и апелляционное определение судебной коллегии по гражданским делам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Ростовского областного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2024 г. оставлены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кассационная жалоба Ф. – без удовлетворения.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59B" w:rsidRDefault="008E059B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59B" w:rsidRDefault="008E059B" w:rsidP="001365C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8E059B" w:rsidSect="00184C46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9A" w:rsidRDefault="00AD6F9A" w:rsidP="00E10197">
      <w:pPr>
        <w:spacing w:after="0" w:line="240" w:lineRule="auto"/>
      </w:pPr>
      <w:r>
        <w:separator/>
      </w:r>
    </w:p>
  </w:endnote>
  <w:endnote w:type="continuationSeparator" w:id="0">
    <w:p w:rsidR="00AD6F9A" w:rsidRDefault="00AD6F9A" w:rsidP="00E1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9A" w:rsidRDefault="00AD6F9A" w:rsidP="00E10197">
      <w:pPr>
        <w:spacing w:after="0" w:line="240" w:lineRule="auto"/>
      </w:pPr>
      <w:r>
        <w:separator/>
      </w:r>
    </w:p>
  </w:footnote>
  <w:footnote w:type="continuationSeparator" w:id="0">
    <w:p w:rsidR="00AD6F9A" w:rsidRDefault="00AD6F9A" w:rsidP="00E10197">
      <w:pPr>
        <w:spacing w:after="0" w:line="240" w:lineRule="auto"/>
      </w:pPr>
      <w:r>
        <w:continuationSeparator/>
      </w:r>
    </w:p>
  </w:footnote>
  <w:footnote w:id="1">
    <w:p w:rsidR="00491196" w:rsidRPr="00491196" w:rsidRDefault="00491196">
      <w:pPr>
        <w:pStyle w:val="a3"/>
        <w:rPr>
          <w:rFonts w:ascii="Times New Roman" w:hAnsi="Times New Roman" w:cs="Times New Roman"/>
        </w:rPr>
      </w:pPr>
      <w:r w:rsidRPr="00491196">
        <w:rPr>
          <w:rStyle w:val="a5"/>
          <w:rFonts w:ascii="Times New Roman" w:hAnsi="Times New Roman" w:cs="Times New Roman"/>
        </w:rPr>
        <w:footnoteRef/>
      </w:r>
      <w:r w:rsidRPr="00491196">
        <w:rPr>
          <w:rFonts w:ascii="Times New Roman" w:hAnsi="Times New Roman" w:cs="Times New Roman"/>
        </w:rPr>
        <w:t>https://1kas.sudrf.ru/modules.php?name=sud_delo&amp;srv_num=1&amp;name_op=case&amp;case_id=38462946&amp;case_uid=36df606d-a0de-485b-bd9b-88d2095984f7&amp;new=2800001&amp;delo_id=2800001</w:t>
      </w:r>
    </w:p>
  </w:footnote>
  <w:footnote w:id="2">
    <w:p w:rsidR="0074260A" w:rsidRPr="0074260A" w:rsidRDefault="0074260A">
      <w:pPr>
        <w:pStyle w:val="a3"/>
        <w:rPr>
          <w:rFonts w:ascii="Times New Roman" w:hAnsi="Times New Roman" w:cs="Times New Roman"/>
        </w:rPr>
      </w:pPr>
      <w:r w:rsidRPr="0074260A">
        <w:rPr>
          <w:rStyle w:val="a5"/>
          <w:rFonts w:ascii="Times New Roman" w:hAnsi="Times New Roman" w:cs="Times New Roman"/>
        </w:rPr>
        <w:footnoteRef/>
      </w:r>
      <w:r w:rsidRPr="0074260A">
        <w:rPr>
          <w:rFonts w:ascii="Times New Roman" w:hAnsi="Times New Roman" w:cs="Times New Roman"/>
        </w:rPr>
        <w:t>https://8kas.sudrf.ru/modules.php?name=sud_delo&amp;srv_num=1&amp;name_op=case&amp;case_id=30738997&amp;case_uid=451bff2c-8fd1-4080-8321-80565aa891fe&amp;new=2800001&amp;delo_id=2800001</w:t>
      </w:r>
    </w:p>
  </w:footnote>
  <w:footnote w:id="3">
    <w:p w:rsidR="00A93CBF" w:rsidRPr="00A93CBF" w:rsidRDefault="00A93CBF" w:rsidP="00A93CBF">
      <w:pPr>
        <w:pStyle w:val="a3"/>
        <w:jc w:val="both"/>
        <w:rPr>
          <w:rFonts w:ascii="Times New Roman" w:hAnsi="Times New Roman" w:cs="Times New Roman"/>
        </w:rPr>
      </w:pPr>
      <w:r w:rsidRPr="00A93CBF">
        <w:rPr>
          <w:rStyle w:val="a5"/>
          <w:rFonts w:ascii="Times New Roman" w:hAnsi="Times New Roman" w:cs="Times New Roman"/>
        </w:rPr>
        <w:footnoteRef/>
      </w:r>
      <w:r w:rsidRPr="00A93CBF">
        <w:rPr>
          <w:rFonts w:ascii="Times New Roman" w:hAnsi="Times New Roman" w:cs="Times New Roman"/>
        </w:rPr>
        <w:t xml:space="preserve"> http://nameserver.domen.ru/cons/cgi/online.cgi?req=doc&amp;base=KSOJ003&amp;n=128780&amp;dst=100001%2C-1&amp;date=27.12.2024</w:t>
      </w:r>
    </w:p>
  </w:footnote>
  <w:footnote w:id="4">
    <w:p w:rsidR="008E6E37" w:rsidRPr="00515642" w:rsidRDefault="008E6E37" w:rsidP="008E6E37">
      <w:pPr>
        <w:pStyle w:val="a3"/>
        <w:rPr>
          <w:rFonts w:ascii="Times New Roman" w:hAnsi="Times New Roman" w:cs="Times New Roman"/>
        </w:rPr>
      </w:pPr>
      <w:r w:rsidRPr="00515642">
        <w:rPr>
          <w:rStyle w:val="a5"/>
          <w:rFonts w:ascii="Times New Roman" w:hAnsi="Times New Roman" w:cs="Times New Roman"/>
        </w:rPr>
        <w:footnoteRef/>
      </w:r>
      <w:r w:rsidRPr="00515642">
        <w:rPr>
          <w:rFonts w:ascii="Times New Roman" w:hAnsi="Times New Roman" w:cs="Times New Roman"/>
        </w:rPr>
        <w:t>https://4kas.sudrf.ru/modules.php?name=sud_delo&amp;srv_num=1&amp;name_op=case&amp;case_id=35097667&amp;case_uid=30678130-e8e2-4816-9781-dc664c41c4cd&amp;new=2800001&amp;delo_id=2800001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547994"/>
      <w:docPartObj>
        <w:docPartGallery w:val="Page Numbers (Top of Page)"/>
        <w:docPartUnique/>
      </w:docPartObj>
    </w:sdtPr>
    <w:sdtEndPr/>
    <w:sdtContent>
      <w:p w:rsidR="00184C46" w:rsidRDefault="00184C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BAF">
          <w:rPr>
            <w:noProof/>
          </w:rPr>
          <w:t>9</w:t>
        </w:r>
        <w:r>
          <w:fldChar w:fldCharType="end"/>
        </w:r>
      </w:p>
    </w:sdtContent>
  </w:sdt>
  <w:p w:rsidR="00184C46" w:rsidRDefault="00184C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6E06"/>
    <w:multiLevelType w:val="hybridMultilevel"/>
    <w:tmpl w:val="B1325DB0"/>
    <w:lvl w:ilvl="0" w:tplc="1E982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C7"/>
    <w:rsid w:val="00013029"/>
    <w:rsid w:val="001365CF"/>
    <w:rsid w:val="00184C46"/>
    <w:rsid w:val="001B7170"/>
    <w:rsid w:val="003619F7"/>
    <w:rsid w:val="003E2BAF"/>
    <w:rsid w:val="00491196"/>
    <w:rsid w:val="004C3AFB"/>
    <w:rsid w:val="004F237A"/>
    <w:rsid w:val="00500BE7"/>
    <w:rsid w:val="00515642"/>
    <w:rsid w:val="005D0A63"/>
    <w:rsid w:val="00631EC8"/>
    <w:rsid w:val="0074260A"/>
    <w:rsid w:val="00763025"/>
    <w:rsid w:val="007769C7"/>
    <w:rsid w:val="007B7E5B"/>
    <w:rsid w:val="008E059B"/>
    <w:rsid w:val="008E6E37"/>
    <w:rsid w:val="0095751E"/>
    <w:rsid w:val="009825C6"/>
    <w:rsid w:val="009A6B27"/>
    <w:rsid w:val="009D584F"/>
    <w:rsid w:val="00A26913"/>
    <w:rsid w:val="00A93CBF"/>
    <w:rsid w:val="00AB6AAF"/>
    <w:rsid w:val="00AD6F9A"/>
    <w:rsid w:val="00AF289D"/>
    <w:rsid w:val="00C9144C"/>
    <w:rsid w:val="00CE3EBE"/>
    <w:rsid w:val="00CF46E7"/>
    <w:rsid w:val="00D537ED"/>
    <w:rsid w:val="00D63A47"/>
    <w:rsid w:val="00D71D09"/>
    <w:rsid w:val="00D92F64"/>
    <w:rsid w:val="00DB32AD"/>
    <w:rsid w:val="00DB3BB1"/>
    <w:rsid w:val="00E10197"/>
    <w:rsid w:val="00E56E52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01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19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0197"/>
    <w:rPr>
      <w:vertAlign w:val="superscript"/>
    </w:rPr>
  </w:style>
  <w:style w:type="paragraph" w:styleId="a6">
    <w:name w:val="List Paragraph"/>
    <w:basedOn w:val="a"/>
    <w:uiPriority w:val="34"/>
    <w:qFormat/>
    <w:rsid w:val="00E101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C4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C46"/>
  </w:style>
  <w:style w:type="paragraph" w:styleId="ab">
    <w:name w:val="footer"/>
    <w:basedOn w:val="a"/>
    <w:link w:val="ac"/>
    <w:uiPriority w:val="99"/>
    <w:unhideWhenUsed/>
    <w:rsid w:val="0018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01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19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0197"/>
    <w:rPr>
      <w:vertAlign w:val="superscript"/>
    </w:rPr>
  </w:style>
  <w:style w:type="paragraph" w:styleId="a6">
    <w:name w:val="List Paragraph"/>
    <w:basedOn w:val="a"/>
    <w:uiPriority w:val="34"/>
    <w:qFormat/>
    <w:rsid w:val="00E101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C4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C46"/>
  </w:style>
  <w:style w:type="paragraph" w:styleId="ab">
    <w:name w:val="footer"/>
    <w:basedOn w:val="a"/>
    <w:link w:val="ac"/>
    <w:uiPriority w:val="99"/>
    <w:unhideWhenUsed/>
    <w:rsid w:val="0018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01E4-48F8-4427-BE4C-20604A30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Сапьяник Надежда Игоревна</dc:creator>
  <cp:lastModifiedBy>Admin</cp:lastModifiedBy>
  <cp:revision>2</cp:revision>
  <cp:lastPrinted>2024-12-28T07:46:00Z</cp:lastPrinted>
  <dcterms:created xsi:type="dcterms:W3CDTF">2025-02-14T08:51:00Z</dcterms:created>
  <dcterms:modified xsi:type="dcterms:W3CDTF">2025-02-14T08:51:00Z</dcterms:modified>
</cp:coreProperties>
</file>